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DF87" w14:textId="77777777"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F86B76">
        <w:rPr>
          <w:rFonts w:ascii="Times New Roman" w:hAnsi="Times New Roman" w:cs="Times New Roman"/>
          <w:sz w:val="24"/>
          <w:szCs w:val="24"/>
        </w:rPr>
        <w:t>IMCW II – Special Programs</w:t>
      </w:r>
      <w:r w:rsidR="003D1B77">
        <w:rPr>
          <w:rFonts w:ascii="Times New Roman" w:hAnsi="Times New Roman" w:cs="Times New Roman"/>
          <w:sz w:val="24"/>
          <w:szCs w:val="24"/>
        </w:rPr>
        <w:tab/>
      </w:r>
      <w:r w:rsidR="003D1B77">
        <w:rPr>
          <w:rFonts w:ascii="Times New Roman" w:hAnsi="Times New Roman" w:cs="Times New Roman"/>
          <w:sz w:val="24"/>
          <w:szCs w:val="24"/>
        </w:rPr>
        <w:tab/>
      </w:r>
    </w:p>
    <w:p w14:paraId="45732153" w14:textId="77777777"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6CD23A8D" w14:textId="77777777"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581D256A" w14:textId="77777777" w:rsidR="00BC159C" w:rsidRPr="002C066D" w:rsidRDefault="008A5AAA" w:rsidP="00176E26">
      <w:pPr>
        <w:spacing w:after="80" w:line="240" w:lineRule="auto"/>
        <w:ind w:left="720"/>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Pr>
          <w:rFonts w:ascii="Times New Roman" w:hAnsi="Times New Roman" w:cs="Times New Roman"/>
          <w:sz w:val="24"/>
          <w:szCs w:val="24"/>
        </w:rPr>
        <w:tab/>
      </w:r>
      <w:r w:rsidR="006A1264" w:rsidRPr="008643DB">
        <w:rPr>
          <w:rFonts w:ascii="Times New Roman" w:hAnsi="Times New Roman" w:cs="Times New Roman"/>
          <w:sz w:val="24"/>
          <w:szCs w:val="24"/>
        </w:rPr>
        <w:t>$</w:t>
      </w:r>
      <w:r w:rsidR="00833578">
        <w:rPr>
          <w:rFonts w:ascii="Times New Roman" w:hAnsi="Times New Roman" w:cs="Times New Roman"/>
          <w:sz w:val="24"/>
          <w:szCs w:val="24"/>
        </w:rPr>
        <w:t>42,410.09</w:t>
      </w:r>
    </w:p>
    <w:p w14:paraId="71312673"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450C70">
        <w:rPr>
          <w:rFonts w:ascii="Times New Roman" w:hAnsi="Times New Roman" w:cs="Times New Roman"/>
          <w:sz w:val="24"/>
          <w:szCs w:val="24"/>
        </w:rPr>
        <w:t>September 8</w:t>
      </w:r>
      <w:r w:rsidR="00833578">
        <w:rPr>
          <w:rFonts w:ascii="Times New Roman" w:hAnsi="Times New Roman" w:cs="Times New Roman"/>
          <w:sz w:val="24"/>
          <w:szCs w:val="24"/>
        </w:rPr>
        <w:t>, 2022</w:t>
      </w:r>
    </w:p>
    <w:p w14:paraId="059D0CE8"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F2739" w:rsidRPr="007F2739">
        <w:rPr>
          <w:rFonts w:ascii="Times New Roman" w:hAnsi="Times New Roman" w:cs="Times New Roman"/>
          <w:sz w:val="24"/>
          <w:szCs w:val="24"/>
          <w:highlight w:val="yellow"/>
        </w:rPr>
        <w:t>Until Filled</w:t>
      </w:r>
    </w:p>
    <w:p w14:paraId="7504CEF5" w14:textId="77777777" w:rsidR="003E4BBB" w:rsidRDefault="003E4BBB" w:rsidP="00394E25">
      <w:pPr>
        <w:spacing w:after="0" w:line="240" w:lineRule="auto"/>
        <w:jc w:val="both"/>
        <w:rPr>
          <w:rFonts w:ascii="Times New Roman" w:hAnsi="Times New Roman" w:cs="Times New Roman"/>
          <w:sz w:val="24"/>
          <w:szCs w:val="24"/>
        </w:rPr>
      </w:pPr>
    </w:p>
    <w:p w14:paraId="5484936D" w14:textId="77777777"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7D189157" w14:textId="77777777" w:rsidR="00DE278D" w:rsidRDefault="00F86B76" w:rsidP="00F86B76">
      <w:pPr>
        <w:spacing w:after="0" w:line="240" w:lineRule="auto"/>
        <w:ind w:left="72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An employee in this class is responsible for the total process of determining or re-determining applicant eligibility in income maintenance programs which includes the intake, processing, and review functions.  Work involves intake, processing applications, and ongoing maintenance.  The employee should have good judgment, scheduling, and decision-making skills. Work involves in-person client contact and/or telephone contact.   Employees in this class have the additional responsibility than that of the IMCW II Universal Caseworker to include a higher level of Adult Medicaid responsibility and knowledge, specifically in the areas of Long Term Care, Program of All-intensive Care for the Elderly (PACE), Community Alternatives Program (CAP), Special Assistance In-Home Program Eligibility, and special SSI cases.  The complexity of this work requires a greater level of analysis and evaluation, coordination with internal and external providers, and policy knowledge than the IMCW II Universal Worker. The worker will have considerable interaction with nursing and assisted living facilities, Health </w:t>
      </w:r>
      <w:proofErr w:type="spellStart"/>
      <w:r w:rsidRPr="00F86B76">
        <w:rPr>
          <w:rFonts w:ascii="Times New Roman" w:eastAsia="Times New Roman" w:hAnsi="Times New Roman" w:cs="Times New Roman"/>
          <w:color w:val="0E101A"/>
          <w:sz w:val="24"/>
          <w:szCs w:val="24"/>
        </w:rPr>
        <w:t>Keeperz</w:t>
      </w:r>
      <w:proofErr w:type="spellEnd"/>
      <w:r w:rsidRPr="00F86B76">
        <w:rPr>
          <w:rFonts w:ascii="Times New Roman" w:eastAsia="Times New Roman" w:hAnsi="Times New Roman" w:cs="Times New Roman"/>
          <w:color w:val="0E101A"/>
          <w:sz w:val="24"/>
          <w:szCs w:val="24"/>
        </w:rPr>
        <w:t>, PACE, authorized representatives, social workers, and family members.  This position reports directly to an Income Maintenance Supervisor II and is under the general direction and supervision of the DSS Director.</w:t>
      </w:r>
    </w:p>
    <w:p w14:paraId="328CA128" w14:textId="77777777" w:rsidR="006035C7" w:rsidRDefault="006035C7" w:rsidP="00833578">
      <w:pPr>
        <w:spacing w:after="0" w:line="240" w:lineRule="auto"/>
        <w:jc w:val="both"/>
        <w:rPr>
          <w:rFonts w:ascii="Times New Roman" w:eastAsia="Times New Roman" w:hAnsi="Times New Roman" w:cs="Times New Roman"/>
          <w:color w:val="0E101A"/>
          <w:sz w:val="24"/>
          <w:szCs w:val="24"/>
        </w:rPr>
      </w:pPr>
    </w:p>
    <w:p w14:paraId="580F3A65" w14:textId="77777777"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5B401DBD"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Interviews the client and/or family members to obtain necessary information for application, redetermination, and changes in the client's situation.</w:t>
      </w:r>
    </w:p>
    <w:p w14:paraId="45C1CED3"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Contacts persons and various organizations as required to verify information obtained on the application and/or re-certification form.</w:t>
      </w:r>
    </w:p>
    <w:p w14:paraId="37285576"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Conducts verifications according to policy and completes only when necessary.</w:t>
      </w:r>
    </w:p>
    <w:p w14:paraId="21635D6C"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Obtains all necessary information.</w:t>
      </w:r>
    </w:p>
    <w:p w14:paraId="7C03ABA2"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Evaluates in accordance with program policy and procedures to determine eligibility.  </w:t>
      </w:r>
    </w:p>
    <w:p w14:paraId="33DC56EB"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Enters all information into computer.</w:t>
      </w:r>
    </w:p>
    <w:p w14:paraId="26FF52F5"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Notifies clients as to the status of their eligibility.</w:t>
      </w:r>
    </w:p>
    <w:p w14:paraId="2C1E55D3"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five years of bank statements to determine if transfers occurred causing the client to be sanctioned.</w:t>
      </w:r>
    </w:p>
    <w:p w14:paraId="22CF4ACF"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deeds for any transfer of property causing a client to be sanctioned.</w:t>
      </w:r>
    </w:p>
    <w:p w14:paraId="0575A1CC"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Determines accurate patient monthly liability for long-term care.</w:t>
      </w:r>
    </w:p>
    <w:p w14:paraId="0CCCC43D"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Communicates to the client and family members the policies and protocols for more difficult programs.</w:t>
      </w:r>
    </w:p>
    <w:p w14:paraId="26910352"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Assumes responsibility for applications that require more extensive troubleshooting and/or engagement with outside agencies to gather required information and to make eligibility decisions. </w:t>
      </w:r>
    </w:p>
    <w:p w14:paraId="24392C3E"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lastRenderedPageBreak/>
        <w:t>In the event of an emergency, as determined by the County Manager or designee, participation in preparedness and response operations is expected.  The employee is required to fill a temporary assignment in a role different from standard duties, work hours, and/or work location in preparation for, during, and after the emergency.  The employee is also required to participate in relevant exercises and regular preparedness training.</w:t>
      </w:r>
    </w:p>
    <w:p w14:paraId="40631CFE"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Works with generated reports, as indicated by Supervisor.  </w:t>
      </w:r>
    </w:p>
    <w:p w14:paraId="355C0747" w14:textId="77777777"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Attend all required / suggested training.</w:t>
      </w:r>
    </w:p>
    <w:p w14:paraId="269001D1" w14:textId="6E057C87" w:rsidR="006035C7" w:rsidRPr="00F86B76" w:rsidRDefault="006035C7" w:rsidP="00E26449">
      <w:pPr>
        <w:tabs>
          <w:tab w:val="left" w:pos="6420"/>
        </w:tabs>
        <w:spacing w:after="0" w:line="240" w:lineRule="auto"/>
        <w:jc w:val="both"/>
        <w:rPr>
          <w:rFonts w:ascii="Times New Roman" w:eastAsia="Times New Roman" w:hAnsi="Times New Roman" w:cs="Times New Roman"/>
          <w:b/>
          <w:bCs/>
          <w:color w:val="0E101A"/>
          <w:sz w:val="24"/>
          <w:szCs w:val="24"/>
          <w:u w:val="single"/>
        </w:rPr>
      </w:pPr>
    </w:p>
    <w:p w14:paraId="7DA26C4A" w14:textId="77777777" w:rsidR="001F68DE" w:rsidRPr="00DE278D" w:rsidRDefault="004B5772" w:rsidP="006035C7">
      <w:pPr>
        <w:spacing w:after="0" w:line="240" w:lineRule="auto"/>
        <w:ind w:left="720"/>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b/>
          <w:bCs/>
          <w:smallCaps/>
          <w:color w:val="0E101A"/>
          <w:sz w:val="24"/>
          <w:szCs w:val="24"/>
          <w:u w:val="single"/>
        </w:rPr>
        <w:t>Qualifications</w:t>
      </w:r>
      <w:r w:rsidRPr="00DE278D">
        <w:rPr>
          <w:rFonts w:ascii="Times New Roman" w:eastAsia="Times New Roman" w:hAnsi="Times New Roman" w:cs="Times New Roman"/>
          <w:bCs/>
          <w:color w:val="0E101A"/>
          <w:sz w:val="24"/>
          <w:szCs w:val="24"/>
        </w:rPr>
        <w:t>: </w:t>
      </w:r>
    </w:p>
    <w:p w14:paraId="5B214A04"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14:paraId="27217477"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14:paraId="497DBA1E" w14:textId="77777777" w:rsidR="00196C6E" w:rsidRDefault="00F86B76"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14:paraId="7759F646" w14:textId="77777777" w:rsidR="00F86B76" w:rsidRPr="00F86B76" w:rsidRDefault="00196C6E"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A</w:t>
      </w:r>
      <w:r w:rsidR="00F86B76" w:rsidRPr="00F86B76">
        <w:rPr>
          <w:rFonts w:ascii="Times New Roman" w:hAnsi="Times New Roman" w:cs="Times New Roman"/>
          <w:sz w:val="24"/>
          <w:szCs w:val="24"/>
        </w:rPr>
        <w:t>n equivalent combination of training and experience.</w:t>
      </w:r>
    </w:p>
    <w:p w14:paraId="5149D26A"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A full year of Income Maintenance Casework in Medicaid is required.  </w:t>
      </w:r>
    </w:p>
    <w:p w14:paraId="181A176F" w14:textId="77777777"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Must have a demonstrated high degree of error-free work and the ability to work independently.  </w:t>
      </w:r>
    </w:p>
    <w:p w14:paraId="3C01B885" w14:textId="282B66BA" w:rsidR="00E14E4D"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Must have demonstrated the ability to be proficient in and to apply Medicaid policy in the areas of: MA-2270, MA-2275, MA-2280, and SA-5200.  </w:t>
      </w:r>
    </w:p>
    <w:p w14:paraId="2410B13C" w14:textId="7272CD34" w:rsidR="00E26449" w:rsidRDefault="00E26449" w:rsidP="00E26449">
      <w:pPr>
        <w:jc w:val="both"/>
        <w:rPr>
          <w:rFonts w:ascii="Times New Roman" w:hAnsi="Times New Roman" w:cs="Times New Roman"/>
          <w:sz w:val="24"/>
          <w:szCs w:val="24"/>
        </w:rPr>
      </w:pPr>
    </w:p>
    <w:p w14:paraId="7CC98907" w14:textId="5A9ABF89" w:rsidR="00E26449" w:rsidRDefault="00E26449" w:rsidP="00E26449">
      <w:pPr>
        <w:widowControl w:val="0"/>
        <w:autoSpaceDE w:val="0"/>
        <w:autoSpaceDN w:val="0"/>
        <w:adjustRightInd w:val="0"/>
        <w:spacing w:after="0" w:line="240" w:lineRule="auto"/>
        <w:ind w:left="720"/>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w:t>
      </w:r>
    </w:p>
    <w:p w14:paraId="14176E44" w14:textId="7DB2DD7B" w:rsidR="00E26449" w:rsidRPr="0085191E" w:rsidRDefault="00E26449" w:rsidP="00E26449">
      <w:pPr>
        <w:widowControl w:val="0"/>
        <w:autoSpaceDE w:val="0"/>
        <w:autoSpaceDN w:val="0"/>
        <w:adjustRightInd w:val="0"/>
        <w:spacing w:after="0" w:line="240" w:lineRule="auto"/>
        <w:ind w:left="720"/>
        <w:jc w:val="center"/>
        <w:rPr>
          <w:rFonts w:cstheme="minorHAnsi"/>
          <w:szCs w:val="20"/>
        </w:rPr>
      </w:pPr>
      <w:r w:rsidRPr="0085191E">
        <w:rPr>
          <w:rFonts w:cstheme="minorHAnsi"/>
          <w:szCs w:val="20"/>
        </w:rPr>
        <w:t>Alexander County Human Resources, 621 Liledoun Road, Taylorsville, NC  28681.</w:t>
      </w:r>
    </w:p>
    <w:p w14:paraId="39372872" w14:textId="77777777" w:rsidR="00E26449" w:rsidRPr="00E26449" w:rsidRDefault="00E26449" w:rsidP="00E26449">
      <w:pPr>
        <w:jc w:val="both"/>
        <w:rPr>
          <w:rFonts w:ascii="Times New Roman" w:hAnsi="Times New Roman" w:cs="Times New Roman"/>
          <w:sz w:val="24"/>
          <w:szCs w:val="24"/>
        </w:rPr>
      </w:pPr>
    </w:p>
    <w:sectPr w:rsidR="00E26449" w:rsidRPr="00E26449" w:rsidSect="00E26449">
      <w:headerReference w:type="default" r:id="rId8"/>
      <w:footerReference w:type="even" r:id="rId9"/>
      <w:footerReference w:type="default" r:id="rId10"/>
      <w:pgSz w:w="12240" w:h="15840" w:code="1"/>
      <w:pgMar w:top="432" w:right="432" w:bottom="43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FA1A" w14:textId="77777777" w:rsidR="00F518D9" w:rsidRDefault="00F518D9" w:rsidP="004B0760">
      <w:pPr>
        <w:spacing w:after="0" w:line="240" w:lineRule="auto"/>
      </w:pPr>
      <w:r>
        <w:separator/>
      </w:r>
    </w:p>
  </w:endnote>
  <w:endnote w:type="continuationSeparator" w:id="0">
    <w:p w14:paraId="2C043E66"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868C" w14:textId="77777777"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D978" w14:textId="1E3B8FB9" w:rsidR="00394FBB" w:rsidRDefault="00394FBB" w:rsidP="00176E26">
    <w:pPr>
      <w:widowControl w:val="0"/>
      <w:autoSpaceDE w:val="0"/>
      <w:autoSpaceDN w:val="0"/>
      <w:adjustRightInd w:val="0"/>
      <w:spacing w:after="0" w:line="200" w:lineRule="exact"/>
      <w:ind w:left="720"/>
      <w:rPr>
        <w:rFonts w:ascii="Arial" w:hAnsi="Arial" w:cs="Arial"/>
        <w:sz w:val="20"/>
        <w:szCs w:val="20"/>
      </w:rPr>
    </w:pPr>
  </w:p>
  <w:p w14:paraId="33BFC720"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8CD3" w14:textId="77777777" w:rsidR="00F518D9" w:rsidRDefault="00F518D9" w:rsidP="004B0760">
      <w:pPr>
        <w:spacing w:after="0" w:line="240" w:lineRule="auto"/>
      </w:pPr>
      <w:r>
        <w:separator/>
      </w:r>
    </w:p>
  </w:footnote>
  <w:footnote w:type="continuationSeparator" w:id="0">
    <w:p w14:paraId="7D011C7C"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3851" w14:textId="54781B55" w:rsidR="004B0760" w:rsidRPr="00B2374B" w:rsidRDefault="004B0760" w:rsidP="00E26449">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E26449">
      <w:rPr>
        <w:rFonts w:ascii="Calibri" w:hAnsi="Calibri" w:cs="Calibri"/>
        <w:b/>
        <w:bCs/>
        <w:smallCaps/>
        <w:spacing w:val="-1"/>
        <w:position w:val="1"/>
        <w:sz w:val="48"/>
        <w:szCs w:val="52"/>
      </w:rPr>
      <w:t xml:space="preserve">  </w:t>
    </w:r>
  </w:p>
  <w:p w14:paraId="6523DAFC" w14:textId="653524C3" w:rsidR="004B0760" w:rsidRDefault="00E26449" w:rsidP="00E26449">
    <w:pPr>
      <w:widowControl w:val="0"/>
      <w:autoSpaceDE w:val="0"/>
      <w:autoSpaceDN w:val="0"/>
      <w:adjustRightInd w:val="0"/>
      <w:spacing w:after="0" w:line="240" w:lineRule="auto"/>
      <w:jc w:val="center"/>
    </w:pPr>
    <w:r>
      <w:rPr>
        <w:noProof/>
      </w:rPr>
      <mc:AlternateContent>
        <mc:Choice Requires="wps">
          <w:drawing>
            <wp:anchor distT="0" distB="0" distL="114300" distR="114300" simplePos="0" relativeHeight="251659264" behindDoc="1" locked="0" layoutInCell="0" allowOverlap="1" wp14:anchorId="3268DBC1" wp14:editId="73FB122C">
              <wp:simplePos x="0" y="0"/>
              <wp:positionH relativeFrom="margin">
                <wp:posOffset>497205</wp:posOffset>
              </wp:positionH>
              <wp:positionV relativeFrom="paragraph">
                <wp:posOffset>346710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A3CDA6"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15pt,27.3pt,504.65pt,27.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" o:allowincell="f" filled="f" strokeweight=".35367mm">
              <v:path arrowok="t" o:connecttype="custom" o:connectlocs="0,0;5911850,0" o:connectangles="0,0"/>
              <w10:wrap anchorx="margin"/>
            </v:polyline>
          </w:pict>
        </mc:Fallback>
      </mc:AlternateContent>
    </w:r>
    <w:r w:rsidR="004B0760" w:rsidRPr="00B2374B">
      <w:rPr>
        <w:rFonts w:ascii="Calibri" w:hAnsi="Calibri" w:cs="Calibri"/>
        <w:b/>
        <w:bCs/>
        <w:smallCaps/>
        <w:spacing w:val="1"/>
        <w:sz w:val="48"/>
        <w:szCs w:val="48"/>
      </w:rPr>
      <w:t>Em</w:t>
    </w:r>
    <w:r w:rsidR="004B0760" w:rsidRPr="00B2374B">
      <w:rPr>
        <w:rFonts w:ascii="Calibri" w:hAnsi="Calibri" w:cs="Calibri"/>
        <w:b/>
        <w:bCs/>
        <w:smallCaps/>
        <w:spacing w:val="-1"/>
        <w:sz w:val="48"/>
        <w:szCs w:val="48"/>
      </w:rPr>
      <w:t>p</w:t>
    </w:r>
    <w:r w:rsidR="004B0760" w:rsidRPr="00B2374B">
      <w:rPr>
        <w:rFonts w:ascii="Calibri" w:hAnsi="Calibri" w:cs="Calibri"/>
        <w:b/>
        <w:bCs/>
        <w:smallCaps/>
        <w:sz w:val="48"/>
        <w:szCs w:val="48"/>
      </w:rPr>
      <w:t>l</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2"/>
        <w:sz w:val="48"/>
        <w:szCs w:val="48"/>
      </w:rPr>
      <w:t>y</w:t>
    </w:r>
    <w:r w:rsidR="004B0760" w:rsidRPr="00B2374B">
      <w:rPr>
        <w:rFonts w:ascii="Calibri" w:hAnsi="Calibri" w:cs="Calibri"/>
        <w:b/>
        <w:bCs/>
        <w:smallCaps/>
        <w:spacing w:val="1"/>
        <w:sz w:val="48"/>
        <w:szCs w:val="48"/>
      </w:rPr>
      <w:t>me</w:t>
    </w:r>
    <w:r w:rsidR="004B0760" w:rsidRPr="00B2374B">
      <w:rPr>
        <w:rFonts w:ascii="Calibri" w:hAnsi="Calibri" w:cs="Calibri"/>
        <w:b/>
        <w:bCs/>
        <w:smallCaps/>
        <w:spacing w:val="-3"/>
        <w:sz w:val="48"/>
        <w:szCs w:val="48"/>
      </w:rPr>
      <w:t>n</w:t>
    </w:r>
    <w:r w:rsidR="004B0760" w:rsidRPr="00B2374B">
      <w:rPr>
        <w:rFonts w:ascii="Calibri" w:hAnsi="Calibri" w:cs="Calibri"/>
        <w:b/>
        <w:bCs/>
        <w:smallCaps/>
        <w:sz w:val="48"/>
        <w:szCs w:val="48"/>
      </w:rPr>
      <w:t>t</w:t>
    </w:r>
    <w:r w:rsidR="004B0760" w:rsidRPr="00B2374B">
      <w:rPr>
        <w:rFonts w:ascii="Calibri" w:hAnsi="Calibri" w:cs="Calibri"/>
        <w:b/>
        <w:bCs/>
        <w:smallCaps/>
        <w:spacing w:val="-16"/>
        <w:sz w:val="48"/>
        <w:szCs w:val="48"/>
      </w:rPr>
      <w:t xml:space="preserve"> </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1"/>
        <w:w w:val="99"/>
        <w:sz w:val="48"/>
        <w:szCs w:val="48"/>
      </w:rPr>
      <w:t>pp</w:t>
    </w:r>
    <w:r w:rsidR="004B0760" w:rsidRPr="00B2374B">
      <w:rPr>
        <w:rFonts w:ascii="Calibri" w:hAnsi="Calibri" w:cs="Calibri"/>
        <w:b/>
        <w:bCs/>
        <w:smallCaps/>
        <w:spacing w:val="2"/>
        <w:w w:val="99"/>
        <w:sz w:val="48"/>
        <w:szCs w:val="48"/>
      </w:rPr>
      <w:t>o</w:t>
    </w:r>
    <w:r w:rsidR="004B0760" w:rsidRPr="00B2374B">
      <w:rPr>
        <w:rFonts w:ascii="Calibri" w:hAnsi="Calibri" w:cs="Calibri"/>
        <w:b/>
        <w:bCs/>
        <w:smallCaps/>
        <w:sz w:val="48"/>
        <w:szCs w:val="48"/>
      </w:rPr>
      <w:t>r</w:t>
    </w:r>
    <w:r w:rsidR="004B0760" w:rsidRPr="00B2374B">
      <w:rPr>
        <w:rFonts w:ascii="Calibri" w:hAnsi="Calibri" w:cs="Calibri"/>
        <w:b/>
        <w:bCs/>
        <w:smallCaps/>
        <w:spacing w:val="2"/>
        <w:w w:val="99"/>
        <w:sz w:val="48"/>
        <w:szCs w:val="48"/>
      </w:rPr>
      <w:t>t</w:t>
    </w:r>
    <w:r w:rsidR="004B0760" w:rsidRPr="00B2374B">
      <w:rPr>
        <w:rFonts w:ascii="Calibri" w:hAnsi="Calibri" w:cs="Calibri"/>
        <w:b/>
        <w:bCs/>
        <w:smallCaps/>
        <w:spacing w:val="-1"/>
        <w:w w:val="99"/>
        <w:sz w:val="48"/>
        <w:szCs w:val="48"/>
      </w:rPr>
      <w:t>un</w:t>
    </w:r>
    <w:r w:rsidR="004B0760" w:rsidRPr="00B2374B">
      <w:rPr>
        <w:rFonts w:ascii="Calibri" w:hAnsi="Calibri" w:cs="Calibri"/>
        <w:b/>
        <w:bCs/>
        <w:smallCaps/>
        <w:spacing w:val="2"/>
        <w:w w:val="99"/>
        <w:sz w:val="48"/>
        <w:szCs w:val="48"/>
      </w:rPr>
      <w:t>i</w:t>
    </w:r>
    <w:r w:rsidR="004B0760" w:rsidRPr="00B2374B">
      <w:rPr>
        <w:rFonts w:ascii="Calibri" w:hAnsi="Calibri" w:cs="Calibri"/>
        <w:b/>
        <w:bCs/>
        <w:smallCaps/>
        <w:spacing w:val="-1"/>
        <w:w w:val="99"/>
        <w:sz w:val="48"/>
        <w:szCs w:val="48"/>
      </w:rPr>
      <w:t>ty</w:t>
    </w:r>
    <w:r>
      <w:rPr>
        <w:rFonts w:ascii="Calibri" w:hAnsi="Calibri" w:cs="Calibri"/>
        <w:b/>
        <w:bCs/>
        <w:smallCaps/>
        <w:spacing w:val="-1"/>
        <w:w w:val="99"/>
        <w:sz w:val="48"/>
        <w:szCs w:val="48"/>
      </w:rPr>
      <w:t xml:space="preserve"> </w:t>
    </w:r>
  </w:p>
  <w:p w14:paraId="2B94D648" w14:textId="025DD807" w:rsidR="004B0760" w:rsidRDefault="004B0760" w:rsidP="00176E2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06F20"/>
    <w:multiLevelType w:val="hybridMultilevel"/>
    <w:tmpl w:val="C5F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C1B67"/>
    <w:multiLevelType w:val="hybridMultilevel"/>
    <w:tmpl w:val="F3687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0550E"/>
    <w:multiLevelType w:val="hybridMultilevel"/>
    <w:tmpl w:val="7FB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341404">
    <w:abstractNumId w:val="16"/>
  </w:num>
  <w:num w:numId="2" w16cid:durableId="650134373">
    <w:abstractNumId w:val="14"/>
  </w:num>
  <w:num w:numId="3" w16cid:durableId="1489856951">
    <w:abstractNumId w:val="8"/>
  </w:num>
  <w:num w:numId="4" w16cid:durableId="95833620">
    <w:abstractNumId w:val="13"/>
  </w:num>
  <w:num w:numId="5" w16cid:durableId="1004013976">
    <w:abstractNumId w:val="5"/>
  </w:num>
  <w:num w:numId="6" w16cid:durableId="1161044535">
    <w:abstractNumId w:val="10"/>
  </w:num>
  <w:num w:numId="7" w16cid:durableId="765659838">
    <w:abstractNumId w:val="2"/>
  </w:num>
  <w:num w:numId="8" w16cid:durableId="409158655">
    <w:abstractNumId w:val="7"/>
  </w:num>
  <w:num w:numId="9" w16cid:durableId="2120947370">
    <w:abstractNumId w:val="3"/>
  </w:num>
  <w:num w:numId="10" w16cid:durableId="294458507">
    <w:abstractNumId w:val="0"/>
  </w:num>
  <w:num w:numId="11" w16cid:durableId="273949945">
    <w:abstractNumId w:val="1"/>
  </w:num>
  <w:num w:numId="12" w16cid:durableId="151485685">
    <w:abstractNumId w:val="6"/>
  </w:num>
  <w:num w:numId="13" w16cid:durableId="1924796882">
    <w:abstractNumId w:val="12"/>
  </w:num>
  <w:num w:numId="14" w16cid:durableId="286160339">
    <w:abstractNumId w:val="11"/>
  </w:num>
  <w:num w:numId="15" w16cid:durableId="897546335">
    <w:abstractNumId w:val="15"/>
  </w:num>
  <w:num w:numId="16" w16cid:durableId="1869827487">
    <w:abstractNumId w:val="9"/>
  </w:num>
  <w:num w:numId="17" w16cid:durableId="165402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55F14"/>
    <w:rsid w:val="00081642"/>
    <w:rsid w:val="00083DE6"/>
    <w:rsid w:val="000A706A"/>
    <w:rsid w:val="000B0E05"/>
    <w:rsid w:val="000C6C58"/>
    <w:rsid w:val="000D1079"/>
    <w:rsid w:val="000F1753"/>
    <w:rsid w:val="00105C48"/>
    <w:rsid w:val="00123001"/>
    <w:rsid w:val="00124040"/>
    <w:rsid w:val="00136132"/>
    <w:rsid w:val="001476AF"/>
    <w:rsid w:val="0016344A"/>
    <w:rsid w:val="00173529"/>
    <w:rsid w:val="00176E26"/>
    <w:rsid w:val="00196C6E"/>
    <w:rsid w:val="001A06E6"/>
    <w:rsid w:val="001A141B"/>
    <w:rsid w:val="001B6246"/>
    <w:rsid w:val="001D0FB6"/>
    <w:rsid w:val="001D1852"/>
    <w:rsid w:val="001E21D8"/>
    <w:rsid w:val="001F0901"/>
    <w:rsid w:val="001F3C13"/>
    <w:rsid w:val="001F3E8F"/>
    <w:rsid w:val="001F68DE"/>
    <w:rsid w:val="0021682B"/>
    <w:rsid w:val="002212C5"/>
    <w:rsid w:val="0023201C"/>
    <w:rsid w:val="0024180D"/>
    <w:rsid w:val="0025158B"/>
    <w:rsid w:val="002701C2"/>
    <w:rsid w:val="00270B2E"/>
    <w:rsid w:val="002944BC"/>
    <w:rsid w:val="00296523"/>
    <w:rsid w:val="002B08FB"/>
    <w:rsid w:val="002C066D"/>
    <w:rsid w:val="002D2D97"/>
    <w:rsid w:val="002D637D"/>
    <w:rsid w:val="002F467A"/>
    <w:rsid w:val="00303902"/>
    <w:rsid w:val="003158BB"/>
    <w:rsid w:val="00320507"/>
    <w:rsid w:val="00324E0D"/>
    <w:rsid w:val="00325DD6"/>
    <w:rsid w:val="00344C63"/>
    <w:rsid w:val="00381565"/>
    <w:rsid w:val="0039328F"/>
    <w:rsid w:val="00394E25"/>
    <w:rsid w:val="00394FBB"/>
    <w:rsid w:val="00397139"/>
    <w:rsid w:val="003A0A46"/>
    <w:rsid w:val="003A68A0"/>
    <w:rsid w:val="003C06D9"/>
    <w:rsid w:val="003C29D3"/>
    <w:rsid w:val="003D00AD"/>
    <w:rsid w:val="003D1B77"/>
    <w:rsid w:val="003D6709"/>
    <w:rsid w:val="003E0E62"/>
    <w:rsid w:val="003E4BBB"/>
    <w:rsid w:val="004062A9"/>
    <w:rsid w:val="00411EC4"/>
    <w:rsid w:val="00424D48"/>
    <w:rsid w:val="00435745"/>
    <w:rsid w:val="00450C70"/>
    <w:rsid w:val="00456FDD"/>
    <w:rsid w:val="004717CC"/>
    <w:rsid w:val="004745FE"/>
    <w:rsid w:val="004865B5"/>
    <w:rsid w:val="004B0760"/>
    <w:rsid w:val="004B5772"/>
    <w:rsid w:val="004D4EBC"/>
    <w:rsid w:val="004D5958"/>
    <w:rsid w:val="004E2951"/>
    <w:rsid w:val="00520E9A"/>
    <w:rsid w:val="00536270"/>
    <w:rsid w:val="00537526"/>
    <w:rsid w:val="00551AEE"/>
    <w:rsid w:val="005715E0"/>
    <w:rsid w:val="005A02A4"/>
    <w:rsid w:val="005A5384"/>
    <w:rsid w:val="005C4492"/>
    <w:rsid w:val="005D2003"/>
    <w:rsid w:val="005D7604"/>
    <w:rsid w:val="005E089D"/>
    <w:rsid w:val="005E2B05"/>
    <w:rsid w:val="005E325C"/>
    <w:rsid w:val="006035C7"/>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7F2739"/>
    <w:rsid w:val="00806D4A"/>
    <w:rsid w:val="0082488A"/>
    <w:rsid w:val="00833578"/>
    <w:rsid w:val="00837E78"/>
    <w:rsid w:val="0084379C"/>
    <w:rsid w:val="0085191E"/>
    <w:rsid w:val="00864FEF"/>
    <w:rsid w:val="00891B80"/>
    <w:rsid w:val="008A0020"/>
    <w:rsid w:val="008A5AAA"/>
    <w:rsid w:val="008A7D26"/>
    <w:rsid w:val="008B1E9C"/>
    <w:rsid w:val="008B5DCC"/>
    <w:rsid w:val="008E12C0"/>
    <w:rsid w:val="008E276A"/>
    <w:rsid w:val="008F2AFC"/>
    <w:rsid w:val="008F4523"/>
    <w:rsid w:val="00903F0E"/>
    <w:rsid w:val="00926CD4"/>
    <w:rsid w:val="00956BFE"/>
    <w:rsid w:val="009968BA"/>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D6B99"/>
    <w:rsid w:val="00BF1B76"/>
    <w:rsid w:val="00C024AE"/>
    <w:rsid w:val="00C155E7"/>
    <w:rsid w:val="00C3145F"/>
    <w:rsid w:val="00C363E5"/>
    <w:rsid w:val="00C561F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81954"/>
    <w:rsid w:val="00DD06B8"/>
    <w:rsid w:val="00DE278D"/>
    <w:rsid w:val="00DF6ECE"/>
    <w:rsid w:val="00E00520"/>
    <w:rsid w:val="00E14E4D"/>
    <w:rsid w:val="00E231EA"/>
    <w:rsid w:val="00E26449"/>
    <w:rsid w:val="00E37046"/>
    <w:rsid w:val="00E44D26"/>
    <w:rsid w:val="00E44F33"/>
    <w:rsid w:val="00E46A72"/>
    <w:rsid w:val="00E50E8C"/>
    <w:rsid w:val="00E606E2"/>
    <w:rsid w:val="00E647D2"/>
    <w:rsid w:val="00E90B02"/>
    <w:rsid w:val="00E90DB2"/>
    <w:rsid w:val="00E96882"/>
    <w:rsid w:val="00E97C07"/>
    <w:rsid w:val="00EB04D9"/>
    <w:rsid w:val="00EB2A5E"/>
    <w:rsid w:val="00EC5FE2"/>
    <w:rsid w:val="00EE7766"/>
    <w:rsid w:val="00F04ED4"/>
    <w:rsid w:val="00F05364"/>
    <w:rsid w:val="00F1701A"/>
    <w:rsid w:val="00F25713"/>
    <w:rsid w:val="00F35F07"/>
    <w:rsid w:val="00F518D9"/>
    <w:rsid w:val="00F5452C"/>
    <w:rsid w:val="00F619E4"/>
    <w:rsid w:val="00F838C1"/>
    <w:rsid w:val="00F86B76"/>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034FB3"/>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4078</Characters>
  <Application>Microsoft Office Word</Application>
  <DocSecurity>4</DocSecurity>
  <Lines>65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2022-09-20T15:26:00Z</cp:lastPrinted>
  <dcterms:created xsi:type="dcterms:W3CDTF">2022-09-20T15:34:00Z</dcterms:created>
  <dcterms:modified xsi:type="dcterms:W3CDTF">2022-09-20T15:34:00Z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c2092a7f22538a591055721b4adcae88f5b982e7461aebc9a5ae2473b0341d24</vt:lpwstr>
  </property>
</Properties>
</file>