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w:t>
      </w:r>
      <w:r w:rsidR="00DE1B66">
        <w:rPr>
          <w:color w:val="000000"/>
        </w:rPr>
        <w:t xml:space="preserve">910-887-6950 </w:t>
      </w:r>
      <w:r>
        <w:rPr>
          <w:color w:val="000000"/>
        </w:rPr>
        <w:t>at 289 Corporate Drive Suite B, Lumberton, NC by 5:00 pm on</w:t>
      </w:r>
      <w:r w:rsidR="00531786">
        <w:rPr>
          <w:color w:val="000000"/>
        </w:rPr>
        <w:t xml:space="preserve"> </w:t>
      </w:r>
      <w:r w:rsidR="00140D96">
        <w:rPr>
          <w:color w:val="000000"/>
        </w:rPr>
        <w:t>November 1</w:t>
      </w:r>
      <w:r w:rsidR="00DE1B66">
        <w:rPr>
          <w:color w:val="000000"/>
        </w:rPr>
        <w:t>, 202</w:t>
      </w:r>
      <w:r w:rsidR="00630FDE">
        <w:rPr>
          <w:color w:val="000000"/>
        </w:rPr>
        <w:t>2</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sidR="00DE1B66">
        <w:rPr>
          <w:shd w:val="clear" w:color="auto" w:fill="FFFF00"/>
        </w:rPr>
        <w:t xml:space="preserve">Tammy </w:t>
      </w:r>
      <w:proofErr w:type="spellStart"/>
      <w:r w:rsidR="00DE1B66">
        <w:rPr>
          <w:shd w:val="clear" w:color="auto" w:fill="FFFF00"/>
        </w:rPr>
        <w:t>Kitson</w:t>
      </w:r>
      <w:proofErr w:type="spellEnd"/>
      <w:r w:rsidR="00DE1B66">
        <w:rPr>
          <w:shd w:val="clear" w:color="auto" w:fill="FFFF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$50,537.03</w:t>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73</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bookmarkStart w:id="0" w:name="_GoBack"/>
      <w:bookmarkEnd w:id="0"/>
      <w:r w:rsidR="006B5475">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140D96">
        <w:rPr>
          <w:color w:val="000000"/>
        </w:rPr>
        <w:t>September 30</w:t>
      </w:r>
      <w:r w:rsidR="00DE1B66">
        <w:rPr>
          <w:color w:val="000000"/>
        </w:rPr>
        <w:t>, 202</w:t>
      </w:r>
      <w:r w:rsidR="00A910F5">
        <w:rPr>
          <w:color w:val="000000"/>
        </w:rPr>
        <w:t>2</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12467D"/>
    <w:rsid w:val="00140D96"/>
    <w:rsid w:val="00432CF6"/>
    <w:rsid w:val="00531786"/>
    <w:rsid w:val="00630FDE"/>
    <w:rsid w:val="006B5475"/>
    <w:rsid w:val="007E326A"/>
    <w:rsid w:val="00A7039A"/>
    <w:rsid w:val="00A910F5"/>
    <w:rsid w:val="00B94F83"/>
    <w:rsid w:val="00D31ADC"/>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5391"/>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8</cp:revision>
  <dcterms:created xsi:type="dcterms:W3CDTF">2022-04-01T12:23:00Z</dcterms:created>
  <dcterms:modified xsi:type="dcterms:W3CDTF">2022-09-30T11:38:00Z</dcterms:modified>
</cp:coreProperties>
</file>